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0" w:type="auto"/>
        <w:tblLook w:val="04A0" w:firstRow="1" w:lastRow="0" w:firstColumn="1" w:lastColumn="0" w:noHBand="0" w:noVBand="1"/>
      </w:tblPr>
      <w:tblGrid>
        <w:gridCol w:w="4531"/>
        <w:gridCol w:w="4531"/>
      </w:tblGrid>
      <w:tr w:rsidR="00850EE4" w14:paraId="22EC4DBD" w14:textId="77777777" w:rsidTr="00850EE4">
        <w:tc>
          <w:tcPr>
            <w:tcW w:w="4531" w:type="dxa"/>
          </w:tcPr>
          <w:p w14:paraId="077D1599" w14:textId="24389B29" w:rsidR="00850EE4" w:rsidRDefault="00850EE4" w:rsidP="00850EE4">
            <w:pPr>
              <w:jc w:val="center"/>
              <w:rPr>
                <w:rStyle w:val="markedcontent"/>
                <w:rFonts w:ascii="Arial" w:hAnsi="Arial" w:cs="Arial"/>
                <w:sz w:val="19"/>
                <w:szCs w:val="19"/>
              </w:rPr>
            </w:pPr>
          </w:p>
          <w:p w14:paraId="7BEBA660" w14:textId="64B238C4" w:rsidR="00850EE4" w:rsidRPr="00CF65A2" w:rsidRDefault="00850EE4" w:rsidP="00850EE4">
            <w:pPr>
              <w:jc w:val="center"/>
              <w:rPr>
                <w:b/>
                <w:bCs/>
                <w:lang w:val="en-US"/>
              </w:rPr>
            </w:pPr>
            <w:r w:rsidRPr="00CF65A2">
              <w:rPr>
                <w:rStyle w:val="markedcontent"/>
                <w:rFonts w:ascii="Arial" w:hAnsi="Arial" w:cs="Arial"/>
                <w:b/>
                <w:bCs/>
                <w:sz w:val="19"/>
                <w:szCs w:val="19"/>
                <w:lang w:val="en-US"/>
              </w:rPr>
              <w:t xml:space="preserve">NAETINEM, Erasmus+ Project </w:t>
            </w:r>
            <w:r w:rsidRPr="00CF65A2">
              <w:rPr>
                <w:b/>
                <w:bCs/>
                <w:lang w:val="en-US"/>
              </w:rPr>
              <w:br/>
            </w:r>
            <w:r w:rsidRPr="00CF65A2">
              <w:rPr>
                <w:b/>
                <w:bCs/>
                <w:lang w:val="en-US"/>
              </w:rPr>
              <w:br/>
            </w:r>
            <w:r w:rsidRPr="00CF65A2">
              <w:rPr>
                <w:rStyle w:val="markedcontent"/>
                <w:rFonts w:ascii="Arial" w:hAnsi="Arial" w:cs="Arial"/>
                <w:b/>
                <w:bCs/>
                <w:lang w:val="en-US"/>
              </w:rPr>
              <w:t xml:space="preserve">Educational Activity </w:t>
            </w:r>
            <w:r w:rsidRPr="00CF65A2">
              <w:rPr>
                <w:b/>
                <w:bCs/>
                <w:lang w:val="en-US"/>
              </w:rPr>
              <w:br/>
            </w:r>
            <w:r w:rsidRPr="00CF65A2">
              <w:rPr>
                <w:rStyle w:val="markedcontent"/>
                <w:rFonts w:ascii="Arial" w:hAnsi="Arial" w:cs="Arial"/>
                <w:b/>
                <w:bCs/>
                <w:sz w:val="19"/>
                <w:szCs w:val="19"/>
                <w:lang w:val="en-US"/>
              </w:rPr>
              <w:t>Toolkit for secondary school teachers</w:t>
            </w:r>
          </w:p>
        </w:tc>
        <w:tc>
          <w:tcPr>
            <w:tcW w:w="4531" w:type="dxa"/>
          </w:tcPr>
          <w:p w14:paraId="1A5AA803" w14:textId="0926F61F" w:rsidR="00850EE4" w:rsidRDefault="00850EE4" w:rsidP="00850EE4">
            <w:pPr>
              <w:jc w:val="center"/>
            </w:pPr>
            <w:r>
              <w:rPr>
                <w:noProof/>
              </w:rPr>
              <w:drawing>
                <wp:inline distT="0" distB="0" distL="0" distR="0" wp14:anchorId="36BCC739" wp14:editId="4A04B718">
                  <wp:extent cx="1543982" cy="7295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72348" cy="742979"/>
                          </a:xfrm>
                          <a:prstGeom prst="rect">
                            <a:avLst/>
                          </a:prstGeom>
                        </pic:spPr>
                      </pic:pic>
                    </a:graphicData>
                  </a:graphic>
                </wp:inline>
              </w:drawing>
            </w:r>
          </w:p>
        </w:tc>
      </w:tr>
    </w:tbl>
    <w:p w14:paraId="78B4A618" w14:textId="5F077C4B" w:rsidR="0088225D" w:rsidRDefault="0088225D"/>
    <w:tbl>
      <w:tblPr>
        <w:tblStyle w:val="Tabellenraster"/>
        <w:tblW w:w="10206" w:type="dxa"/>
        <w:tblInd w:w="-459" w:type="dxa"/>
        <w:tblLook w:val="04A0" w:firstRow="1" w:lastRow="0" w:firstColumn="1" w:lastColumn="0" w:noHBand="0" w:noVBand="1"/>
      </w:tblPr>
      <w:tblGrid>
        <w:gridCol w:w="2014"/>
        <w:gridCol w:w="2407"/>
        <w:gridCol w:w="1136"/>
        <w:gridCol w:w="4649"/>
      </w:tblGrid>
      <w:tr w:rsidR="00850EE4" w:rsidRPr="006C301A" w14:paraId="496B808A" w14:textId="77777777" w:rsidTr="00CF65A2">
        <w:tc>
          <w:tcPr>
            <w:tcW w:w="2014" w:type="dxa"/>
            <w:shd w:val="clear" w:color="auto" w:fill="70AD47" w:themeFill="accent6"/>
          </w:tcPr>
          <w:p w14:paraId="0B9341D0" w14:textId="6F0E645C" w:rsidR="00850EE4" w:rsidRPr="006C301A" w:rsidRDefault="00850EE4">
            <w:pPr>
              <w:rPr>
                <w:rFonts w:cstheme="minorHAnsi"/>
                <w:sz w:val="24"/>
                <w:szCs w:val="24"/>
                <w:lang w:val="en-US"/>
              </w:rPr>
            </w:pPr>
            <w:r w:rsidRPr="006C301A">
              <w:rPr>
                <w:rStyle w:val="markedcontent"/>
                <w:rFonts w:cstheme="minorHAnsi"/>
                <w:sz w:val="24"/>
                <w:szCs w:val="24"/>
                <w:lang w:val="en-US"/>
              </w:rPr>
              <w:t>Name of activity:</w:t>
            </w:r>
          </w:p>
        </w:tc>
        <w:tc>
          <w:tcPr>
            <w:tcW w:w="8192" w:type="dxa"/>
            <w:gridSpan w:val="3"/>
          </w:tcPr>
          <w:p w14:paraId="2B507A2B" w14:textId="3135E629" w:rsidR="00850EE4" w:rsidRPr="006C301A" w:rsidRDefault="004E25B1">
            <w:pPr>
              <w:rPr>
                <w:sz w:val="24"/>
                <w:szCs w:val="24"/>
                <w:lang w:val="en-US"/>
              </w:rPr>
            </w:pPr>
            <w:r w:rsidRPr="006C301A">
              <w:rPr>
                <w:sz w:val="24"/>
                <w:szCs w:val="24"/>
                <w:lang w:val="en-US"/>
              </w:rPr>
              <w:t>Remembering the First World War - Learning Series Part 3</w:t>
            </w:r>
          </w:p>
        </w:tc>
      </w:tr>
      <w:tr w:rsidR="00850EE4" w:rsidRPr="006C301A" w14:paraId="2F7C90A3" w14:textId="77777777" w:rsidTr="00CF65A2">
        <w:tc>
          <w:tcPr>
            <w:tcW w:w="2014" w:type="dxa"/>
            <w:shd w:val="clear" w:color="auto" w:fill="70AD47" w:themeFill="accent6"/>
          </w:tcPr>
          <w:p w14:paraId="3C2EFB76" w14:textId="6DC471E7" w:rsidR="00850EE4" w:rsidRPr="006C301A" w:rsidRDefault="00850EE4">
            <w:pPr>
              <w:rPr>
                <w:rFonts w:cstheme="minorHAnsi"/>
                <w:sz w:val="24"/>
                <w:szCs w:val="24"/>
                <w:lang w:val="en-US"/>
              </w:rPr>
            </w:pPr>
            <w:r w:rsidRPr="006C301A">
              <w:rPr>
                <w:rStyle w:val="markedcontent"/>
                <w:rFonts w:cstheme="minorHAnsi"/>
                <w:sz w:val="24"/>
                <w:szCs w:val="24"/>
                <w:lang w:val="en-US"/>
              </w:rPr>
              <w:t xml:space="preserve">Educational </w:t>
            </w:r>
            <w:r w:rsidRPr="006C301A">
              <w:rPr>
                <w:rFonts w:cstheme="minorHAnsi"/>
                <w:sz w:val="24"/>
                <w:szCs w:val="24"/>
                <w:lang w:val="en-US"/>
              </w:rPr>
              <w:br/>
            </w:r>
            <w:r w:rsidRPr="006C301A">
              <w:rPr>
                <w:rStyle w:val="markedcontent"/>
                <w:rFonts w:cstheme="minorHAnsi"/>
                <w:sz w:val="24"/>
                <w:szCs w:val="24"/>
                <w:lang w:val="en-US"/>
              </w:rPr>
              <w:t>objective:</w:t>
            </w:r>
          </w:p>
        </w:tc>
        <w:tc>
          <w:tcPr>
            <w:tcW w:w="8192" w:type="dxa"/>
            <w:gridSpan w:val="3"/>
          </w:tcPr>
          <w:p w14:paraId="7171A2B9" w14:textId="3512F028" w:rsidR="00850EE4" w:rsidRPr="006C301A" w:rsidRDefault="004E25B1">
            <w:pPr>
              <w:rPr>
                <w:sz w:val="24"/>
                <w:szCs w:val="24"/>
                <w:lang w:val="en-US"/>
              </w:rPr>
            </w:pPr>
            <w:r w:rsidRPr="006C301A">
              <w:rPr>
                <w:sz w:val="24"/>
                <w:szCs w:val="24"/>
                <w:lang w:val="en-US"/>
              </w:rPr>
              <w:t>Students will learn about France's current approach to the memory of the First World War and reflect on it and the possibility of transnational remembrance.</w:t>
            </w:r>
          </w:p>
        </w:tc>
      </w:tr>
      <w:tr w:rsidR="00850EE4" w:rsidRPr="006C301A" w14:paraId="64D660EE" w14:textId="77777777" w:rsidTr="00CF65A2">
        <w:tc>
          <w:tcPr>
            <w:tcW w:w="2014" w:type="dxa"/>
            <w:shd w:val="clear" w:color="auto" w:fill="70AD47" w:themeFill="accent6"/>
          </w:tcPr>
          <w:p w14:paraId="58C599C0" w14:textId="77D11901" w:rsidR="00850EE4" w:rsidRPr="006C301A" w:rsidRDefault="00850EE4">
            <w:pPr>
              <w:rPr>
                <w:rFonts w:cstheme="minorHAnsi"/>
                <w:sz w:val="24"/>
                <w:szCs w:val="24"/>
                <w:lang w:val="en-US"/>
              </w:rPr>
            </w:pPr>
            <w:r w:rsidRPr="006C301A">
              <w:rPr>
                <w:rStyle w:val="markedcontent"/>
                <w:rFonts w:cstheme="minorHAnsi"/>
                <w:sz w:val="24"/>
                <w:szCs w:val="24"/>
                <w:lang w:val="en-US"/>
              </w:rPr>
              <w:t>Qualities in focus:</w:t>
            </w:r>
          </w:p>
        </w:tc>
        <w:tc>
          <w:tcPr>
            <w:tcW w:w="8192" w:type="dxa"/>
            <w:gridSpan w:val="3"/>
          </w:tcPr>
          <w:p w14:paraId="2FA8411A" w14:textId="4C502517" w:rsidR="00850EE4" w:rsidRPr="006C301A" w:rsidRDefault="00850EE4">
            <w:pPr>
              <w:rPr>
                <w:sz w:val="24"/>
                <w:szCs w:val="24"/>
                <w:lang w:val="en-US"/>
              </w:rPr>
            </w:pPr>
          </w:p>
        </w:tc>
      </w:tr>
      <w:tr w:rsidR="00850EE4" w:rsidRPr="006C301A" w14:paraId="0F1C7D9A" w14:textId="77777777" w:rsidTr="00CF65A2">
        <w:tc>
          <w:tcPr>
            <w:tcW w:w="2014" w:type="dxa"/>
            <w:shd w:val="clear" w:color="auto" w:fill="70AD47" w:themeFill="accent6"/>
          </w:tcPr>
          <w:p w14:paraId="0F51662D" w14:textId="2751253D" w:rsidR="00850EE4" w:rsidRPr="006C301A" w:rsidRDefault="00850EE4">
            <w:pPr>
              <w:rPr>
                <w:rFonts w:cstheme="minorHAnsi"/>
                <w:sz w:val="24"/>
                <w:szCs w:val="24"/>
                <w:lang w:val="en-US"/>
              </w:rPr>
            </w:pPr>
            <w:r w:rsidRPr="006C301A">
              <w:rPr>
                <w:rStyle w:val="markedcontent"/>
                <w:rFonts w:cstheme="minorHAnsi"/>
                <w:sz w:val="24"/>
                <w:szCs w:val="24"/>
                <w:lang w:val="en-US"/>
              </w:rPr>
              <w:t>Target group, age of the students:</w:t>
            </w:r>
          </w:p>
        </w:tc>
        <w:tc>
          <w:tcPr>
            <w:tcW w:w="8192" w:type="dxa"/>
            <w:gridSpan w:val="3"/>
          </w:tcPr>
          <w:p w14:paraId="40C98C69" w14:textId="0738D96A" w:rsidR="00850EE4" w:rsidRPr="006C301A" w:rsidRDefault="004E25B1">
            <w:pPr>
              <w:rPr>
                <w:sz w:val="24"/>
                <w:szCs w:val="24"/>
                <w:lang w:val="en-US"/>
              </w:rPr>
            </w:pPr>
            <w:r w:rsidRPr="006C301A">
              <w:rPr>
                <w:rFonts w:cstheme="minorHAnsi"/>
                <w:sz w:val="24"/>
                <w:szCs w:val="24"/>
                <w:lang w:val="en-US"/>
              </w:rPr>
              <w:t>From 14 years (from grade 8)</w:t>
            </w:r>
          </w:p>
        </w:tc>
      </w:tr>
      <w:tr w:rsidR="00850EE4" w:rsidRPr="006C301A" w14:paraId="1CB0E4F4" w14:textId="77777777" w:rsidTr="00CF65A2">
        <w:tc>
          <w:tcPr>
            <w:tcW w:w="2014" w:type="dxa"/>
            <w:shd w:val="clear" w:color="auto" w:fill="70AD47" w:themeFill="accent6"/>
          </w:tcPr>
          <w:p w14:paraId="530B2E2C" w14:textId="5AFDC907" w:rsidR="00850EE4" w:rsidRPr="006C301A" w:rsidRDefault="00850EE4">
            <w:pPr>
              <w:rPr>
                <w:rFonts w:cstheme="minorHAnsi"/>
                <w:sz w:val="24"/>
                <w:szCs w:val="24"/>
                <w:lang w:val="en-US"/>
              </w:rPr>
            </w:pPr>
            <w:r w:rsidRPr="006C301A">
              <w:rPr>
                <w:rStyle w:val="markedcontent"/>
                <w:rFonts w:cstheme="minorHAnsi"/>
                <w:sz w:val="24"/>
                <w:szCs w:val="24"/>
                <w:lang w:val="en-US"/>
              </w:rPr>
              <w:t>Suitable for:</w:t>
            </w:r>
          </w:p>
        </w:tc>
        <w:tc>
          <w:tcPr>
            <w:tcW w:w="8192" w:type="dxa"/>
            <w:gridSpan w:val="3"/>
          </w:tcPr>
          <w:p w14:paraId="6EF734C9" w14:textId="4C9D0A16" w:rsidR="004E25B1" w:rsidRPr="006C301A" w:rsidRDefault="004E25B1" w:rsidP="00F9167E">
            <w:pPr>
              <w:rPr>
                <w:sz w:val="24"/>
                <w:szCs w:val="24"/>
                <w:lang w:val="en-US"/>
              </w:rPr>
            </w:pPr>
            <w:r w:rsidRPr="006C301A">
              <w:rPr>
                <w:sz w:val="24"/>
                <w:szCs w:val="24"/>
                <w:lang w:val="en-US"/>
              </w:rPr>
              <w:t>National and Transnational Remembrance of the First World War.</w:t>
            </w:r>
          </w:p>
        </w:tc>
      </w:tr>
      <w:tr w:rsidR="00850EE4" w:rsidRPr="006C301A" w14:paraId="3DF9ABB0" w14:textId="77777777" w:rsidTr="00CF65A2">
        <w:tc>
          <w:tcPr>
            <w:tcW w:w="2014" w:type="dxa"/>
            <w:shd w:val="clear" w:color="auto" w:fill="70AD47" w:themeFill="accent6"/>
          </w:tcPr>
          <w:p w14:paraId="494C27B4" w14:textId="5F44504E" w:rsidR="00850EE4" w:rsidRPr="006C301A" w:rsidRDefault="00850EE4">
            <w:pPr>
              <w:rPr>
                <w:rFonts w:cstheme="minorHAnsi"/>
                <w:sz w:val="24"/>
                <w:szCs w:val="24"/>
                <w:lang w:val="en-US"/>
              </w:rPr>
            </w:pPr>
            <w:r w:rsidRPr="006C301A">
              <w:rPr>
                <w:rStyle w:val="markedcontent"/>
                <w:rFonts w:cstheme="minorHAnsi"/>
                <w:sz w:val="24"/>
                <w:szCs w:val="24"/>
                <w:lang w:val="en-US"/>
              </w:rPr>
              <w:t xml:space="preserve">Teaching aids, </w:t>
            </w:r>
            <w:r w:rsidRPr="006C301A">
              <w:rPr>
                <w:rFonts w:cstheme="minorHAnsi"/>
                <w:sz w:val="24"/>
                <w:szCs w:val="24"/>
                <w:lang w:val="en-US"/>
              </w:rPr>
              <w:br/>
            </w:r>
            <w:r w:rsidRPr="006C301A">
              <w:rPr>
                <w:rStyle w:val="markedcontent"/>
                <w:rFonts w:cstheme="minorHAnsi"/>
                <w:sz w:val="24"/>
                <w:szCs w:val="24"/>
                <w:lang w:val="en-US"/>
              </w:rPr>
              <w:t>preparation:</w:t>
            </w:r>
          </w:p>
        </w:tc>
        <w:tc>
          <w:tcPr>
            <w:tcW w:w="8192" w:type="dxa"/>
            <w:gridSpan w:val="3"/>
          </w:tcPr>
          <w:p w14:paraId="099BEDAD" w14:textId="39CD63E7" w:rsidR="00850EE4" w:rsidRPr="006C301A" w:rsidRDefault="004E25B1">
            <w:pPr>
              <w:rPr>
                <w:sz w:val="24"/>
                <w:szCs w:val="24"/>
                <w:lang w:val="en-US"/>
              </w:rPr>
            </w:pPr>
            <w:r w:rsidRPr="006C301A">
              <w:rPr>
                <w:sz w:val="24"/>
                <w:szCs w:val="24"/>
                <w:lang w:val="en-US"/>
              </w:rPr>
              <w:t>PC, projector, PowerPoint</w:t>
            </w:r>
          </w:p>
        </w:tc>
      </w:tr>
      <w:tr w:rsidR="004E25B1" w:rsidRPr="006C301A" w14:paraId="6FFEAD51" w14:textId="77777777" w:rsidTr="00CF65A2">
        <w:tc>
          <w:tcPr>
            <w:tcW w:w="2014" w:type="dxa"/>
            <w:shd w:val="clear" w:color="auto" w:fill="70AD47" w:themeFill="accent6"/>
          </w:tcPr>
          <w:p w14:paraId="2E3C4E5D" w14:textId="044BF517" w:rsidR="004E25B1" w:rsidRPr="006C301A" w:rsidRDefault="004E25B1" w:rsidP="004E25B1">
            <w:pPr>
              <w:rPr>
                <w:rFonts w:cstheme="minorHAnsi"/>
                <w:sz w:val="24"/>
                <w:szCs w:val="24"/>
                <w:lang w:val="en-US"/>
              </w:rPr>
            </w:pPr>
            <w:r w:rsidRPr="006C301A">
              <w:rPr>
                <w:rStyle w:val="markedcontent"/>
                <w:rFonts w:cstheme="minorHAnsi"/>
                <w:sz w:val="24"/>
                <w:szCs w:val="24"/>
                <w:lang w:val="en-US"/>
              </w:rPr>
              <w:t>Time needed:</w:t>
            </w:r>
          </w:p>
        </w:tc>
        <w:tc>
          <w:tcPr>
            <w:tcW w:w="8192" w:type="dxa"/>
            <w:gridSpan w:val="3"/>
          </w:tcPr>
          <w:p w14:paraId="5A970DF1" w14:textId="2C59D642" w:rsidR="004E25B1" w:rsidRPr="006C301A" w:rsidRDefault="004E25B1" w:rsidP="004E25B1">
            <w:pPr>
              <w:rPr>
                <w:sz w:val="24"/>
                <w:szCs w:val="24"/>
                <w:lang w:val="en-US"/>
              </w:rPr>
            </w:pPr>
            <w:r w:rsidRPr="006C301A">
              <w:rPr>
                <w:sz w:val="24"/>
                <w:szCs w:val="24"/>
                <w:lang w:val="en-US"/>
              </w:rPr>
              <w:t>45 minutes</w:t>
            </w:r>
          </w:p>
        </w:tc>
      </w:tr>
      <w:tr w:rsidR="00850EE4" w:rsidRPr="006C301A" w14:paraId="0B2AD51D" w14:textId="77777777" w:rsidTr="00CF65A2">
        <w:tc>
          <w:tcPr>
            <w:tcW w:w="2014" w:type="dxa"/>
            <w:shd w:val="clear" w:color="auto" w:fill="70AD47" w:themeFill="accent6"/>
          </w:tcPr>
          <w:p w14:paraId="184BE34E" w14:textId="1576BAC2" w:rsidR="00850EE4" w:rsidRPr="006C301A" w:rsidRDefault="00850EE4">
            <w:pPr>
              <w:rPr>
                <w:rFonts w:cstheme="minorHAnsi"/>
                <w:sz w:val="24"/>
                <w:szCs w:val="24"/>
                <w:lang w:val="en-US"/>
              </w:rPr>
            </w:pPr>
            <w:r w:rsidRPr="006C301A">
              <w:rPr>
                <w:rStyle w:val="markedcontent"/>
                <w:rFonts w:cstheme="minorHAnsi"/>
                <w:sz w:val="24"/>
                <w:szCs w:val="24"/>
                <w:lang w:val="en-US"/>
              </w:rPr>
              <w:t xml:space="preserve">Description of </w:t>
            </w:r>
            <w:r w:rsidRPr="006C301A">
              <w:rPr>
                <w:rFonts w:cstheme="minorHAnsi"/>
                <w:sz w:val="24"/>
                <w:szCs w:val="24"/>
                <w:lang w:val="en-US"/>
              </w:rPr>
              <w:br/>
            </w:r>
            <w:r w:rsidRPr="006C301A">
              <w:rPr>
                <w:rStyle w:val="markedcontent"/>
                <w:rFonts w:cstheme="minorHAnsi"/>
                <w:sz w:val="24"/>
                <w:szCs w:val="24"/>
                <w:lang w:val="en-US"/>
              </w:rPr>
              <w:t>activity:</w:t>
            </w:r>
          </w:p>
        </w:tc>
        <w:tc>
          <w:tcPr>
            <w:tcW w:w="8192" w:type="dxa"/>
            <w:gridSpan w:val="3"/>
          </w:tcPr>
          <w:p w14:paraId="789F04B0" w14:textId="77777777" w:rsidR="004E25B1" w:rsidRPr="006C301A" w:rsidRDefault="004E25B1" w:rsidP="004E25B1">
            <w:pPr>
              <w:rPr>
                <w:sz w:val="24"/>
                <w:szCs w:val="24"/>
                <w:lang w:val="en-US"/>
              </w:rPr>
            </w:pPr>
            <w:r w:rsidRPr="006C301A">
              <w:rPr>
                <w:sz w:val="24"/>
                <w:szCs w:val="24"/>
                <w:lang w:val="en-US"/>
              </w:rPr>
              <w:t>The students will be informed about the further course of the learning offer by means of an introductory slide. In the following sessions, the students will deal with the culture of remembrance of different nations.</w:t>
            </w:r>
          </w:p>
          <w:p w14:paraId="0783C130" w14:textId="77777777" w:rsidR="004E25B1" w:rsidRPr="006C301A" w:rsidRDefault="004E25B1" w:rsidP="004E25B1">
            <w:pPr>
              <w:rPr>
                <w:sz w:val="24"/>
                <w:szCs w:val="24"/>
                <w:lang w:val="en-US"/>
              </w:rPr>
            </w:pPr>
            <w:r w:rsidRPr="006C301A">
              <w:rPr>
                <w:sz w:val="24"/>
                <w:szCs w:val="24"/>
                <w:lang w:val="en-US"/>
              </w:rPr>
              <w:t xml:space="preserve">At the beginning of the assignment, the students are asked to use the Internet to find out about the speech of the French President commemorating the armistice 100 years ago. Students are asked to take notes on the narrative patterns they discover during their research and then compare and discuss their findings. Furthermore, the students should write a diary entry in their role as spectators of the commemoration and present it to their group </w:t>
            </w:r>
            <w:proofErr w:type="gramStart"/>
            <w:r w:rsidRPr="006C301A">
              <w:rPr>
                <w:sz w:val="24"/>
                <w:szCs w:val="24"/>
                <w:lang w:val="en-US"/>
              </w:rPr>
              <w:t>in order to</w:t>
            </w:r>
            <w:proofErr w:type="gramEnd"/>
            <w:r w:rsidRPr="006C301A">
              <w:rPr>
                <w:sz w:val="24"/>
                <w:szCs w:val="24"/>
                <w:lang w:val="en-US"/>
              </w:rPr>
              <w:t xml:space="preserve"> be able to give each other feedback.</w:t>
            </w:r>
          </w:p>
          <w:p w14:paraId="325BE9F3" w14:textId="6496FB9E" w:rsidR="00CF65A2" w:rsidRPr="006C301A" w:rsidRDefault="004E25B1" w:rsidP="004E25B1">
            <w:pPr>
              <w:rPr>
                <w:sz w:val="24"/>
                <w:szCs w:val="24"/>
                <w:lang w:val="en-US"/>
              </w:rPr>
            </w:pPr>
            <w:r w:rsidRPr="006C301A">
              <w:rPr>
                <w:sz w:val="24"/>
                <w:szCs w:val="24"/>
                <w:lang w:val="en-US"/>
              </w:rPr>
              <w:t xml:space="preserve">Afterwards, the students should first look at a contemporary cartoon from France that was published on the decision of the Treaty of Versailles. In the following assignments, the students should try to describe this cartoon and interpret its content. Finally, the students should deal with current images of Macron and Merkel or Steinmeier by visualizing the effect of the circumstances of these persons. An exchange in the group about the insights gained should take place </w:t>
            </w:r>
            <w:proofErr w:type="gramStart"/>
            <w:r w:rsidRPr="006C301A">
              <w:rPr>
                <w:sz w:val="24"/>
                <w:szCs w:val="24"/>
                <w:lang w:val="en-US"/>
              </w:rPr>
              <w:t>in order to</w:t>
            </w:r>
            <w:proofErr w:type="gramEnd"/>
            <w:r w:rsidRPr="006C301A">
              <w:rPr>
                <w:sz w:val="24"/>
                <w:szCs w:val="24"/>
                <w:lang w:val="en-US"/>
              </w:rPr>
              <w:t xml:space="preserve"> write a diary entry in the last assignment. In this diary entry, the students should reflect on the importance of Franco-German friendship from Macron's point of view.</w:t>
            </w:r>
          </w:p>
        </w:tc>
      </w:tr>
      <w:tr w:rsidR="00850EE4" w:rsidRPr="006C301A" w14:paraId="450405C2" w14:textId="77777777" w:rsidTr="00CF65A2">
        <w:tc>
          <w:tcPr>
            <w:tcW w:w="2014" w:type="dxa"/>
            <w:shd w:val="clear" w:color="auto" w:fill="70AD47" w:themeFill="accent6"/>
          </w:tcPr>
          <w:p w14:paraId="2F45930C" w14:textId="06E76957" w:rsidR="00850EE4" w:rsidRPr="006C301A" w:rsidRDefault="00850EE4">
            <w:pPr>
              <w:rPr>
                <w:rFonts w:cstheme="minorHAnsi"/>
                <w:sz w:val="24"/>
                <w:szCs w:val="24"/>
                <w:lang w:val="en-US"/>
              </w:rPr>
            </w:pPr>
            <w:r w:rsidRPr="006C301A">
              <w:rPr>
                <w:rStyle w:val="markedcontent"/>
                <w:rFonts w:cstheme="minorHAnsi"/>
                <w:sz w:val="24"/>
                <w:szCs w:val="24"/>
                <w:lang w:val="en-US"/>
              </w:rPr>
              <w:t>Created:</w:t>
            </w:r>
          </w:p>
        </w:tc>
        <w:tc>
          <w:tcPr>
            <w:tcW w:w="2407" w:type="dxa"/>
          </w:tcPr>
          <w:p w14:paraId="37486F14" w14:textId="4DE5EF80" w:rsidR="00850EE4" w:rsidRPr="006C301A" w:rsidRDefault="00CF65A2">
            <w:pPr>
              <w:rPr>
                <w:sz w:val="24"/>
                <w:szCs w:val="24"/>
                <w:lang w:val="en-US"/>
              </w:rPr>
            </w:pPr>
            <w:r w:rsidRPr="006C301A">
              <w:rPr>
                <w:sz w:val="24"/>
                <w:szCs w:val="24"/>
                <w:lang w:val="en-US"/>
              </w:rPr>
              <w:t>06.11.2021</w:t>
            </w:r>
          </w:p>
        </w:tc>
        <w:tc>
          <w:tcPr>
            <w:tcW w:w="1136" w:type="dxa"/>
            <w:shd w:val="clear" w:color="auto" w:fill="70AD47" w:themeFill="accent6"/>
          </w:tcPr>
          <w:p w14:paraId="70DA26B5" w14:textId="2F7C7653" w:rsidR="00850EE4" w:rsidRPr="006C301A" w:rsidRDefault="0000124F">
            <w:pPr>
              <w:rPr>
                <w:sz w:val="24"/>
                <w:szCs w:val="24"/>
                <w:lang w:val="en-US"/>
              </w:rPr>
            </w:pPr>
            <w:r w:rsidRPr="006C301A">
              <w:rPr>
                <w:sz w:val="24"/>
                <w:szCs w:val="24"/>
                <w:lang w:val="en-US"/>
              </w:rPr>
              <w:t>Author:</w:t>
            </w:r>
          </w:p>
        </w:tc>
        <w:tc>
          <w:tcPr>
            <w:tcW w:w="4649" w:type="dxa"/>
          </w:tcPr>
          <w:p w14:paraId="1B2712AC" w14:textId="35D21218" w:rsidR="00850EE4" w:rsidRPr="006C301A" w:rsidRDefault="0000124F">
            <w:pPr>
              <w:rPr>
                <w:sz w:val="24"/>
                <w:szCs w:val="24"/>
                <w:lang w:val="en-US"/>
              </w:rPr>
            </w:pPr>
            <w:r w:rsidRPr="006C301A">
              <w:rPr>
                <w:sz w:val="24"/>
                <w:szCs w:val="24"/>
                <w:lang w:val="en-US"/>
              </w:rPr>
              <w:t>PH Heidelberg</w:t>
            </w:r>
          </w:p>
        </w:tc>
      </w:tr>
      <w:tr w:rsidR="00850EE4" w:rsidRPr="006C301A" w14:paraId="25C68D94" w14:textId="77777777" w:rsidTr="00CF65A2">
        <w:tc>
          <w:tcPr>
            <w:tcW w:w="2014" w:type="dxa"/>
            <w:shd w:val="clear" w:color="auto" w:fill="70AD47" w:themeFill="accent6"/>
          </w:tcPr>
          <w:p w14:paraId="6D430445" w14:textId="76C0DF4E" w:rsidR="00850EE4" w:rsidRPr="006C301A" w:rsidRDefault="00850EE4">
            <w:pPr>
              <w:rPr>
                <w:rFonts w:cstheme="minorHAnsi"/>
                <w:sz w:val="24"/>
                <w:szCs w:val="24"/>
                <w:lang w:val="en-US"/>
              </w:rPr>
            </w:pPr>
            <w:r w:rsidRPr="006C301A">
              <w:rPr>
                <w:rStyle w:val="markedcontent"/>
                <w:rFonts w:cstheme="minorHAnsi"/>
                <w:sz w:val="24"/>
                <w:szCs w:val="24"/>
                <w:lang w:val="en-US"/>
              </w:rPr>
              <w:t xml:space="preserve">Own </w:t>
            </w:r>
            <w:r w:rsidRPr="006C301A">
              <w:rPr>
                <w:rFonts w:cstheme="minorHAnsi"/>
                <w:sz w:val="24"/>
                <w:szCs w:val="24"/>
                <w:lang w:val="en-US"/>
              </w:rPr>
              <w:br/>
            </w:r>
            <w:r w:rsidRPr="006C301A">
              <w:rPr>
                <w:rStyle w:val="markedcontent"/>
                <w:rFonts w:cstheme="minorHAnsi"/>
                <w:sz w:val="24"/>
                <w:szCs w:val="24"/>
                <w:lang w:val="en-US"/>
              </w:rPr>
              <w:t>reflections:</w:t>
            </w:r>
          </w:p>
        </w:tc>
        <w:tc>
          <w:tcPr>
            <w:tcW w:w="8192" w:type="dxa"/>
            <w:gridSpan w:val="3"/>
          </w:tcPr>
          <w:p w14:paraId="3F07B564" w14:textId="01CB8DCE" w:rsidR="00850EE4" w:rsidRPr="006C301A" w:rsidRDefault="004E25B1">
            <w:pPr>
              <w:rPr>
                <w:sz w:val="24"/>
                <w:szCs w:val="24"/>
                <w:lang w:val="en-US"/>
              </w:rPr>
            </w:pPr>
            <w:r w:rsidRPr="006C301A">
              <w:rPr>
                <w:sz w:val="24"/>
                <w:szCs w:val="24"/>
                <w:lang w:val="en-US"/>
              </w:rPr>
              <w:t xml:space="preserve">The students recognize that an event can have a different significance in the culture of remembrance of a nation. The students will be confronted with different perspectives of France's memory of the First World War and position themselves </w:t>
            </w:r>
            <w:proofErr w:type="gramStart"/>
            <w:r w:rsidRPr="006C301A">
              <w:rPr>
                <w:sz w:val="24"/>
                <w:szCs w:val="24"/>
                <w:lang w:val="en-US"/>
              </w:rPr>
              <w:t>with regard to</w:t>
            </w:r>
            <w:proofErr w:type="gramEnd"/>
            <w:r w:rsidRPr="006C301A">
              <w:rPr>
                <w:sz w:val="24"/>
                <w:szCs w:val="24"/>
                <w:lang w:val="en-US"/>
              </w:rPr>
              <w:t xml:space="preserve"> the importance of Franco-German friendship.</w:t>
            </w:r>
          </w:p>
        </w:tc>
      </w:tr>
      <w:tr w:rsidR="00850EE4" w:rsidRPr="006C301A" w14:paraId="245207CA" w14:textId="77777777" w:rsidTr="00CF65A2">
        <w:tc>
          <w:tcPr>
            <w:tcW w:w="2014" w:type="dxa"/>
            <w:shd w:val="clear" w:color="auto" w:fill="70AD47" w:themeFill="accent6"/>
          </w:tcPr>
          <w:p w14:paraId="2F70AD7D" w14:textId="1C369BD1" w:rsidR="00850EE4" w:rsidRPr="006C301A" w:rsidRDefault="00850EE4">
            <w:pPr>
              <w:rPr>
                <w:rFonts w:cstheme="minorHAnsi"/>
                <w:sz w:val="24"/>
                <w:szCs w:val="24"/>
                <w:lang w:val="en-US"/>
              </w:rPr>
            </w:pPr>
            <w:r w:rsidRPr="006C301A">
              <w:rPr>
                <w:rStyle w:val="markedcontent"/>
                <w:rFonts w:cstheme="minorHAnsi"/>
                <w:sz w:val="24"/>
                <w:szCs w:val="24"/>
                <w:lang w:val="en-US"/>
              </w:rPr>
              <w:t>Enclosures:</w:t>
            </w:r>
          </w:p>
        </w:tc>
        <w:tc>
          <w:tcPr>
            <w:tcW w:w="8192" w:type="dxa"/>
            <w:gridSpan w:val="3"/>
          </w:tcPr>
          <w:p w14:paraId="10BC5693" w14:textId="0C467D3F" w:rsidR="00850EE4" w:rsidRPr="006C301A" w:rsidRDefault="00CF65A2">
            <w:pPr>
              <w:rPr>
                <w:sz w:val="24"/>
                <w:szCs w:val="24"/>
                <w:lang w:val="en-US"/>
              </w:rPr>
            </w:pPr>
            <w:r w:rsidRPr="006C301A">
              <w:rPr>
                <w:sz w:val="24"/>
                <w:szCs w:val="24"/>
                <w:lang w:val="en-US"/>
              </w:rPr>
              <w:t>NAETINEM_</w:t>
            </w:r>
            <w:r w:rsidR="004E25B1" w:rsidRPr="006C301A">
              <w:rPr>
                <w:sz w:val="24"/>
                <w:szCs w:val="24"/>
                <w:lang w:val="en-US"/>
              </w:rPr>
              <w:t>Remember</w:t>
            </w:r>
            <w:r w:rsidRPr="006C301A">
              <w:rPr>
                <w:sz w:val="24"/>
                <w:szCs w:val="24"/>
                <w:lang w:val="en-US"/>
              </w:rPr>
              <w:t>_</w:t>
            </w:r>
            <w:r w:rsidR="004E25B1" w:rsidRPr="006C301A">
              <w:rPr>
                <w:sz w:val="24"/>
                <w:szCs w:val="24"/>
                <w:lang w:val="en-US"/>
              </w:rPr>
              <w:t>Learning_Series</w:t>
            </w:r>
            <w:r w:rsidRPr="006C301A">
              <w:rPr>
                <w:sz w:val="24"/>
                <w:szCs w:val="24"/>
                <w:lang w:val="en-US"/>
              </w:rPr>
              <w:t>_3</w:t>
            </w:r>
            <w:r w:rsidR="004E25B1" w:rsidRPr="006C301A">
              <w:rPr>
                <w:sz w:val="24"/>
                <w:szCs w:val="24"/>
                <w:lang w:val="en-US"/>
              </w:rPr>
              <w:t>_EN.pptx</w:t>
            </w:r>
          </w:p>
        </w:tc>
      </w:tr>
    </w:tbl>
    <w:p w14:paraId="3D38307F" w14:textId="77777777" w:rsidR="00850EE4" w:rsidRPr="004E25B1" w:rsidRDefault="00850EE4">
      <w:pPr>
        <w:rPr>
          <w:lang w:val="en-US"/>
        </w:rPr>
      </w:pPr>
    </w:p>
    <w:sectPr w:rsidR="00850EE4" w:rsidRPr="004E25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EE4"/>
    <w:rsid w:val="0000124F"/>
    <w:rsid w:val="00012609"/>
    <w:rsid w:val="00274A5F"/>
    <w:rsid w:val="002A50C0"/>
    <w:rsid w:val="004E25B1"/>
    <w:rsid w:val="00623182"/>
    <w:rsid w:val="006C301A"/>
    <w:rsid w:val="00753D46"/>
    <w:rsid w:val="007D25E6"/>
    <w:rsid w:val="00850EE4"/>
    <w:rsid w:val="0088225D"/>
    <w:rsid w:val="00A73A15"/>
    <w:rsid w:val="00AF3F44"/>
    <w:rsid w:val="00C75EEE"/>
    <w:rsid w:val="00C95F4C"/>
    <w:rsid w:val="00CD236F"/>
    <w:rsid w:val="00CF65A2"/>
    <w:rsid w:val="00DC0F5B"/>
    <w:rsid w:val="00E54A98"/>
    <w:rsid w:val="00EA18CA"/>
    <w:rsid w:val="00F916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7179A"/>
  <w15:docId w15:val="{E654AC3B-2590-4981-A5BF-61A0E487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50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bsatz-Standardschriftart"/>
    <w:rsid w:val="00850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2080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Hilliges</dc:creator>
  <cp:keywords/>
  <dc:description/>
  <cp:lastModifiedBy>Isabel Bohlmann</cp:lastModifiedBy>
  <cp:revision>3</cp:revision>
  <dcterms:created xsi:type="dcterms:W3CDTF">2021-11-28T20:56:00Z</dcterms:created>
  <dcterms:modified xsi:type="dcterms:W3CDTF">2021-11-28T20:57:00Z</dcterms:modified>
</cp:coreProperties>
</file>